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E" w:rsidRDefault="00F42EDE" w:rsidP="00F42EDE">
      <w:pPr>
        <w:autoSpaceDE w:val="0"/>
        <w:autoSpaceDN w:val="0"/>
        <w:adjustRightInd w:val="0"/>
        <w:ind w:left="7080"/>
        <w:rPr>
          <w:rFonts w:ascii="Arial-BoldMT" w:hAnsi="Arial-BoldMT" w:cs="Arial-BoldMT"/>
          <w:b/>
          <w:bCs/>
          <w:sz w:val="20"/>
          <w:szCs w:val="20"/>
        </w:rPr>
      </w:pPr>
      <w:r>
        <w:t>Приложение 13</w:t>
      </w:r>
    </w:p>
    <w:p w:rsidR="00F42EDE" w:rsidRDefault="00F42EDE" w:rsidP="00F42E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F42EDE" w:rsidRDefault="00F42EDE" w:rsidP="00F42E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ПОКАЗАТЕЛИ</w:t>
      </w:r>
    </w:p>
    <w:p w:rsidR="00F42EDE" w:rsidRDefault="00F42EDE" w:rsidP="00F42E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ДЕЯТЕЛЬНОСТИ ОРГАНИЗАЦИИ ДОПОЛНИТЕЛЬНОГО ОБРАЗОВАНИЯ,</w:t>
      </w:r>
    </w:p>
    <w:p w:rsidR="00F42EDE" w:rsidRPr="003B0D8D" w:rsidRDefault="00F42EDE" w:rsidP="00F42E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ПОДЛЕЖАЩЕЙ САМООБСЛЕДОВАНИЮ за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889"/>
        <w:gridCol w:w="1866"/>
      </w:tblGrid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N </w:t>
            </w:r>
            <w:proofErr w:type="spellStart"/>
            <w:r w:rsidRPr="00D67C2C">
              <w:rPr>
                <w:rFonts w:ascii="ArialMT" w:hAnsi="ArialMT" w:cs="ArialMT"/>
                <w:sz w:val="20"/>
                <w:szCs w:val="20"/>
              </w:rPr>
              <w:t>п</w:t>
            </w:r>
            <w:proofErr w:type="spellEnd"/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proofErr w:type="spellStart"/>
            <w:r w:rsidRPr="00D67C2C">
              <w:rPr>
                <w:rFonts w:ascii="ArialMT" w:hAnsi="ArialMT" w:cs="Arial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>Показатели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Единица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измерения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</w:t>
            </w:r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Общая численность учащихся, в том числе: 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>1439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1.1.1</w:t>
            </w:r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Детей дошкольного возраста (3 - 7 лет)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154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1.1.2</w:t>
            </w:r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375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1.1.3</w:t>
            </w:r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440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438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89204D">
              <w:rPr>
                <w:rFonts w:ascii="ArialMT" w:hAnsi="ArialMT" w:cs="ArialMT"/>
                <w:sz w:val="28"/>
                <w:szCs w:val="28"/>
              </w:rPr>
              <w:t>*</w:t>
            </w:r>
            <w:r w:rsidRPr="00D67C2C">
              <w:rPr>
                <w:rFonts w:ascii="ArialMT" w:hAnsi="ArialMT" w:cs="ArialMT"/>
                <w:sz w:val="20"/>
                <w:szCs w:val="20"/>
              </w:rPr>
              <w:t xml:space="preserve"> Детей </w:t>
            </w:r>
            <w:r>
              <w:rPr>
                <w:rFonts w:ascii="ArialMT" w:hAnsi="ArialMT" w:cs="ArialMT"/>
                <w:sz w:val="20"/>
                <w:szCs w:val="20"/>
              </w:rPr>
              <w:t>18 лет</w:t>
            </w:r>
            <w:r w:rsidRPr="00D67C2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и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старше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32 человек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 учащихся, обучающихся по образовательным программам</w:t>
            </w:r>
          </w:p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39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</w:p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1.3</w:t>
            </w:r>
          </w:p>
        </w:tc>
        <w:tc>
          <w:tcPr>
            <w:tcW w:w="6889" w:type="dxa"/>
            <w:shd w:val="clear" w:color="auto" w:fill="auto"/>
          </w:tcPr>
          <w:p w:rsidR="00F42EDE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учащихся, занимающихся в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 2-х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и более объединениях (кружках, секциях, клубах), в общей численности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учащихся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55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 с применением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дистанционных образовательных технологий, электронного обучения, в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общей численности учащихся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 по образовательным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программам для детей с выдающимися способностями, в общей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численности учащихся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1.6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 по образовательным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программам, направленным на работу с детьми с особыми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потребностями в образовании, в общей численности учащихся, в том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61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4,2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1.6.1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0,2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1.6.2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1.6.3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Дети-мигранты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1.6.4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57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1.7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учащихся, занимающихся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учебно-исследовательской, проектной деятельностью, в общей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численности учащихся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20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1,4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учащихся, принявших участие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в массовых мероприятиях (конкурсы, соревнования, фестивали,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конференции), в общей численности учащихся,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701F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220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85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540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38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региональном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350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24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701F">
              <w:rPr>
                <w:rFonts w:ascii="ArialMT" w:hAnsi="ArialMT" w:cs="ArialMT"/>
                <w:sz w:val="20"/>
                <w:szCs w:val="20"/>
              </w:rPr>
              <w:t>82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федеральном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701F">
              <w:rPr>
                <w:rFonts w:ascii="ArialMT" w:hAnsi="ArialMT" w:cs="ArialMT"/>
                <w:sz w:val="20"/>
                <w:szCs w:val="20"/>
              </w:rPr>
              <w:t>189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13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1.8.5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59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RPr="00F97AF3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t>1.9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 - победителей и</w:t>
            </w:r>
          </w:p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 xml:space="preserve">призеров массовых мероприятий (конкурсы, соревнования, </w:t>
            </w:r>
            <w:r w:rsidRPr="00F97AF3">
              <w:rPr>
                <w:rFonts w:ascii="ArialMT" w:hAnsi="ArialMT" w:cs="ArialMT"/>
                <w:sz w:val="20"/>
                <w:szCs w:val="20"/>
              </w:rPr>
              <w:lastRenderedPageBreak/>
              <w:t>фестивали,</w:t>
            </w:r>
          </w:p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конференции), в общей численности учащихся,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 xml:space="preserve">308 </w:t>
            </w:r>
            <w:r w:rsidRPr="00F97AF3">
              <w:rPr>
                <w:rFonts w:ascii="ArialMT" w:hAnsi="ArialMT" w:cs="ArialMT"/>
                <w:sz w:val="20"/>
                <w:szCs w:val="20"/>
              </w:rPr>
              <w:t xml:space="preserve">человек/ </w:t>
            </w:r>
            <w:r>
              <w:rPr>
                <w:rFonts w:ascii="ArialMT" w:hAnsi="ArialMT" w:cs="ArialMT"/>
                <w:sz w:val="20"/>
                <w:szCs w:val="20"/>
              </w:rPr>
              <w:t>21</w:t>
            </w:r>
            <w:r w:rsidRPr="00F97AF3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RPr="00F97AF3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lastRenderedPageBreak/>
              <w:t>1.9.1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82</w:t>
            </w:r>
            <w:r w:rsidRPr="00F97AF3">
              <w:rPr>
                <w:rFonts w:ascii="ArialMT" w:hAnsi="ArialMT" w:cs="ArialMT"/>
                <w:sz w:val="20"/>
                <w:szCs w:val="20"/>
              </w:rPr>
              <w:t xml:space="preserve"> 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F97AF3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Pr="00F97AF3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RPr="00F97AF3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t>1.9.2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На региональном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30 </w:t>
            </w:r>
            <w:r w:rsidRPr="00F97AF3">
              <w:rPr>
                <w:rFonts w:ascii="ArialMT" w:hAnsi="ArialMT" w:cs="ArialMT"/>
                <w:sz w:val="20"/>
                <w:szCs w:val="20"/>
              </w:rPr>
              <w:t>человек/4%</w:t>
            </w:r>
          </w:p>
        </w:tc>
      </w:tr>
      <w:tr w:rsidR="00F42EDE" w:rsidRPr="00F97AF3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t>1.9.3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8E5637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5637">
              <w:rPr>
                <w:rFonts w:ascii="ArialMT" w:hAnsi="ArialMT" w:cs="ArialMT"/>
                <w:sz w:val="20"/>
                <w:szCs w:val="20"/>
              </w:rPr>
              <w:t>22 человека/2%</w:t>
            </w:r>
          </w:p>
        </w:tc>
      </w:tr>
      <w:tr w:rsidR="00F42EDE" w:rsidRPr="00F97AF3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t>1.9.4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На федеральном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8E5637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5637">
              <w:rPr>
                <w:rFonts w:ascii="ArialMT" w:hAnsi="ArialMT" w:cs="ArialMT"/>
                <w:sz w:val="20"/>
                <w:szCs w:val="20"/>
              </w:rPr>
              <w:t>51 человек/</w:t>
            </w:r>
            <w:r>
              <w:rPr>
                <w:rFonts w:ascii="ArialMT" w:hAnsi="ArialMT" w:cs="ArialMT"/>
                <w:sz w:val="20"/>
                <w:szCs w:val="20"/>
              </w:rPr>
              <w:t>4</w:t>
            </w:r>
            <w:r w:rsidRPr="008E5637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Pr="00F97AF3" w:rsidRDefault="00F42EDE" w:rsidP="006A05D7">
            <w:pPr>
              <w:spacing w:line="360" w:lineRule="auto"/>
              <w:jc w:val="both"/>
            </w:pPr>
            <w:r w:rsidRPr="00F97AF3">
              <w:t>1.9.5</w:t>
            </w:r>
          </w:p>
        </w:tc>
        <w:tc>
          <w:tcPr>
            <w:tcW w:w="6889" w:type="dxa"/>
            <w:shd w:val="clear" w:color="auto" w:fill="auto"/>
          </w:tcPr>
          <w:p w:rsidR="00F42EDE" w:rsidRPr="00F97AF3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97AF3">
              <w:rPr>
                <w:rFonts w:ascii="ArialMT" w:hAnsi="ArialMT" w:cs="ArialMT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8E5637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5637">
              <w:rPr>
                <w:rFonts w:ascii="ArialMT" w:hAnsi="ArialMT" w:cs="ArialMT"/>
                <w:sz w:val="20"/>
                <w:szCs w:val="20"/>
              </w:rPr>
              <w:t>22 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8E5637">
              <w:rPr>
                <w:rFonts w:ascii="ArialMT" w:hAnsi="ArialMT" w:cs="ArialMT"/>
                <w:sz w:val="20"/>
                <w:szCs w:val="20"/>
              </w:rPr>
              <w:t>/2%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учащихся, участвующих в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образовательных и социальных проектах, в общей численности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учащихся,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96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/ 7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Муниципального уровня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66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5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Регионального уровня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(проект «Дворовая практика»)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1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1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Федерального уровня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1.10.5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Международного уровня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Количество массовых мероприятий, проведенных образовательной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организацией, в том числе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38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единиц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36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региональном уровне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(* областные военно-полевые выходы)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2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0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федеральном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1.11.5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Общая численность педагогических работников человек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51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имеющих высшее образование, в общей численности педагогических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работников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39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76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имеющих высшее образование педагогической направленности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(профиля), в общей численности педагогических работников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26 ч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еловек/</w:t>
            </w:r>
            <w:r>
              <w:rPr>
                <w:rFonts w:ascii="ArialMT" w:hAnsi="ArialMT" w:cs="ArialMT"/>
                <w:sz w:val="20"/>
                <w:szCs w:val="20"/>
              </w:rPr>
              <w:t>51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имеющих среднее профессиональное образование, в общей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численности педагогических работников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8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1.16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имеющих среднее профессиональное образование педагогической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направленности (профиля), в общей численности педагогических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работников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6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1.17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которым по результатам аттестации присвоена квалификационная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категория, в общей численности педагогических работников, в том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21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41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1.17.1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Высшая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6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12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1.17.2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Первая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29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40119A">
              <w:rPr>
                <w:rFonts w:ascii="ArialMT" w:hAnsi="ArialMT" w:cs="ArialMT"/>
                <w:sz w:val="28"/>
                <w:szCs w:val="28"/>
              </w:rPr>
              <w:t xml:space="preserve">* </w:t>
            </w:r>
            <w:r>
              <w:rPr>
                <w:rFonts w:ascii="ArialMT" w:hAnsi="ArialMT" w:cs="ArialMT"/>
                <w:sz w:val="20"/>
                <w:szCs w:val="20"/>
              </w:rPr>
              <w:t>Вторая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0человека/ 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1.18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 в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общей численности педагогических работников, педагогический стаж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работы которых составляет: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31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lastRenderedPageBreak/>
              <w:t>1.18.1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До 5 лет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16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31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1.18.2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Свыше 30 лет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человека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1.19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работников в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17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33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1.20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spacing w:line="36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Численность/удельный вес численности педагогических работников в 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5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</w:t>
            </w:r>
            <w:r>
              <w:rPr>
                <w:rFonts w:ascii="ArialMT" w:hAnsi="ArialMT" w:cs="ArialMT"/>
                <w:sz w:val="20"/>
                <w:szCs w:val="20"/>
              </w:rPr>
              <w:t>10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педагогических и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административно-хозяйственных работников, прошедших за последние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5 лет повышение квалификации/профессиональную переподготовку по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профилю педагогической деятельности или иной осуществляемой в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образовательной организации деятельности, в общей численности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педагогических и административно-хозяйственных работников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71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специалистов,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обеспечивающих методическую деятельность образовательной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организации, в общей численности сотрудников образовательной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организации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а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/</w:t>
            </w: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Количество публикаций, подготовленных педагогическими работниками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образовательной организации: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1.23.1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За 3 года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1.23.2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За отчетный период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1.24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Наличие в организации дополнительного образования системы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психолого-педагогической поддержки одаренных детей, иных групп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детей, требующих повышенного педагогического внимания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да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Инфраструктура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0,008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Количество помещений для осуществления образовательной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деятельности,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r>
              <w:rPr>
                <w:rFonts w:ascii="ArialMT" w:hAnsi="ArialMT" w:cs="ArialMT"/>
                <w:sz w:val="20"/>
                <w:szCs w:val="20"/>
              </w:rPr>
              <w:t>43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Учебный класс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40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Лаборатория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0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Мастерская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0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Танцевальный класс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2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Спортивный зал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 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2.2.6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Бассейн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Количество помещений для организации </w:t>
            </w:r>
            <w:proofErr w:type="spellStart"/>
            <w:r w:rsidRPr="00D67C2C">
              <w:rPr>
                <w:rFonts w:ascii="ArialMT" w:hAnsi="ArialMT" w:cs="ArialMT"/>
                <w:sz w:val="20"/>
                <w:szCs w:val="20"/>
              </w:rPr>
              <w:t>досуговой</w:t>
            </w:r>
            <w:proofErr w:type="spellEnd"/>
            <w:r w:rsidRPr="00D67C2C">
              <w:rPr>
                <w:rFonts w:ascii="ArialMT" w:hAnsi="ArialMT" w:cs="ArialMT"/>
                <w:sz w:val="20"/>
                <w:szCs w:val="20"/>
              </w:rPr>
              <w:t xml:space="preserve"> деятельности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учащихся,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4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единиц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2.3.1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Актовый зал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единиц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2.3.2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Концертный зал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единиц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2.3.3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Игровое помещение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3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единиц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Наличие в образовательной организации системы электронного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документооборота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да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2.6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2.6.1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С обеспечением возможности работы на стационарных компьютерах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или использования переносных компьютеров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2.6.2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 xml:space="preserve">С </w:t>
            </w:r>
            <w:proofErr w:type="spellStart"/>
            <w:r w:rsidRPr="00D67C2C">
              <w:rPr>
                <w:rFonts w:ascii="ArialMT" w:hAnsi="ArialMT" w:cs="ArialMT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lastRenderedPageBreak/>
              <w:t>2.6.3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2.6.4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С выходом в Интернет с компьютеров, расположенных в помещении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библиотеки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t>2.6.5</w:t>
            </w: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866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нет</w:t>
            </w:r>
          </w:p>
        </w:tc>
      </w:tr>
      <w:tr w:rsidR="00F42EDE" w:rsidTr="006A05D7">
        <w:tc>
          <w:tcPr>
            <w:tcW w:w="816" w:type="dxa"/>
            <w:shd w:val="clear" w:color="auto" w:fill="auto"/>
          </w:tcPr>
          <w:p w:rsidR="00F42EDE" w:rsidRDefault="00F42EDE" w:rsidP="006A05D7">
            <w:r>
              <w:t>2.7</w:t>
            </w:r>
          </w:p>
          <w:p w:rsidR="00F42EDE" w:rsidRDefault="00F42EDE" w:rsidP="006A05D7">
            <w:pPr>
              <w:spacing w:line="360" w:lineRule="auto"/>
              <w:jc w:val="both"/>
            </w:pPr>
          </w:p>
        </w:tc>
        <w:tc>
          <w:tcPr>
            <w:tcW w:w="6889" w:type="dxa"/>
            <w:shd w:val="clear" w:color="auto" w:fill="auto"/>
          </w:tcPr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67C2C">
              <w:rPr>
                <w:rFonts w:ascii="ArialMT" w:hAnsi="ArialMT" w:cs="ArialMT"/>
                <w:sz w:val="20"/>
                <w:szCs w:val="20"/>
              </w:rPr>
              <w:t>Численность/удельный вес численности учащихся, которым обеспечена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866" w:type="dxa"/>
            <w:shd w:val="clear" w:color="auto" w:fill="auto"/>
          </w:tcPr>
          <w:p w:rsidR="00F42EDE" w:rsidRDefault="00F42EDE" w:rsidP="006A05D7">
            <w:pPr>
              <w:spacing w:line="360" w:lineRule="auto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0 </w:t>
            </w:r>
            <w:r w:rsidRPr="00D67C2C">
              <w:rPr>
                <w:rFonts w:ascii="ArialMT" w:hAnsi="ArialMT" w:cs="ArialMT"/>
                <w:sz w:val="20"/>
                <w:szCs w:val="20"/>
              </w:rPr>
              <w:t>человек/%</w:t>
            </w:r>
          </w:p>
          <w:p w:rsidR="00F42EDE" w:rsidRPr="00D67C2C" w:rsidRDefault="00F42EDE" w:rsidP="006A0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F42EDE" w:rsidRDefault="00F42EDE" w:rsidP="00F42EDE"/>
    <w:p w:rsidR="00263F36" w:rsidRDefault="00263F36"/>
    <w:sectPr w:rsidR="00263F36" w:rsidSect="0026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EDE"/>
    <w:rsid w:val="00263F36"/>
    <w:rsid w:val="00F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2016-09-21T08:40:00Z</dcterms:created>
  <dcterms:modified xsi:type="dcterms:W3CDTF">2016-09-21T08:40:00Z</dcterms:modified>
</cp:coreProperties>
</file>